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D4" w:rsidRDefault="00DD22D4">
      <w:pPr>
        <w:suppressAutoHyphens/>
        <w:spacing w:after="0" w:line="240" w:lineRule="auto"/>
        <w:rPr>
          <w:rFonts w:ascii="Verdana" w:eastAsia="Verdana" w:hAnsi="Verdana" w:cs="Verdana"/>
        </w:rPr>
      </w:pPr>
    </w:p>
    <w:tbl>
      <w:tblPr>
        <w:tblW w:w="0" w:type="auto"/>
        <w:tblInd w:w="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3"/>
        <w:gridCol w:w="2818"/>
        <w:gridCol w:w="1534"/>
        <w:gridCol w:w="3631"/>
      </w:tblGrid>
      <w:tr w:rsidR="00DD22D4" w:rsidRPr="00AD79AC"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</w:rPr>
              <w:t>ООО «БВК</w:t>
            </w:r>
            <w:r w:rsidRPr="00AD79AC">
              <w:rPr>
                <w:rFonts w:ascii="Arial" w:eastAsia="Times New Roman" w:hAnsi="Arial" w:cs="Arial"/>
              </w:rPr>
              <w:t xml:space="preserve">   </w:t>
            </w:r>
            <w:r w:rsidRPr="00AD79AC">
              <w:rPr>
                <w:rFonts w:ascii="Arial" w:eastAsia="Arial" w:hAnsi="Arial" w:cs="Arial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</w:rPr>
              <w:t>ЕБ</w:t>
            </w:r>
          </w:p>
        </w:tc>
      </w:tr>
      <w:tr w:rsidR="00DD22D4" w:rsidRPr="00AD79AC"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Segoe UI Symbol" w:hAnsi="Arial" w:cs="Arial"/>
              </w:rPr>
              <w:t>№</w:t>
            </w:r>
            <w:r w:rsidRPr="00AD79AC">
              <w:rPr>
                <w:rFonts w:ascii="Arial" w:eastAsia="Arial" w:hAnsi="Arial" w:cs="Arial"/>
              </w:rPr>
              <w:t xml:space="preserve"> 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</w:tbl>
    <w:p w:rsidR="00DD22D4" w:rsidRPr="00AD79AC" w:rsidRDefault="00DD22D4">
      <w:pPr>
        <w:suppressAutoHyphens/>
        <w:spacing w:after="0" w:line="240" w:lineRule="auto"/>
        <w:rPr>
          <w:rFonts w:ascii="Arial" w:eastAsia="Times New Roman" w:hAnsi="Arial" w:cs="Arial"/>
        </w:rPr>
      </w:pPr>
    </w:p>
    <w:p w:rsidR="00DD22D4" w:rsidRPr="00AD79AC" w:rsidRDefault="00AD79AC">
      <w:pPr>
        <w:suppressAutoHyphens/>
        <w:spacing w:after="0" w:line="240" w:lineRule="auto"/>
        <w:rPr>
          <w:rFonts w:ascii="Arial" w:eastAsia="Arial" w:hAnsi="Arial" w:cs="Arial"/>
          <w:b/>
          <w:sz w:val="18"/>
        </w:rPr>
      </w:pPr>
      <w:r w:rsidRPr="00AD79AC">
        <w:rPr>
          <w:rFonts w:ascii="Arial" w:eastAsia="Arial" w:hAnsi="Arial" w:cs="Arial"/>
          <w:b/>
          <w:sz w:val="18"/>
        </w:rPr>
        <w:t xml:space="preserve">Наименование МТР:  </w:t>
      </w:r>
    </w:p>
    <w:p w:rsidR="00DD22D4" w:rsidRPr="00AD79AC" w:rsidRDefault="00DD22D4">
      <w:pPr>
        <w:suppressAutoHyphens/>
        <w:spacing w:after="0" w:line="240" w:lineRule="auto"/>
        <w:rPr>
          <w:rFonts w:ascii="Arial" w:eastAsia="Arial" w:hAnsi="Arial" w:cs="Arial"/>
          <w:b/>
          <w:sz w:val="18"/>
        </w:rPr>
      </w:pPr>
    </w:p>
    <w:p w:rsidR="00DD22D4" w:rsidRPr="00AD79AC" w:rsidRDefault="00AD79AC">
      <w:pPr>
        <w:suppressAutoHyphens/>
        <w:spacing w:after="0" w:line="240" w:lineRule="auto"/>
        <w:rPr>
          <w:rFonts w:ascii="Arial" w:eastAsia="Arial" w:hAnsi="Arial" w:cs="Arial"/>
          <w:sz w:val="18"/>
        </w:rPr>
      </w:pPr>
      <w:r w:rsidRPr="00AD79AC">
        <w:rPr>
          <w:rFonts w:ascii="Arial" w:eastAsia="Arial" w:hAnsi="Arial" w:cs="Arial"/>
          <w:b/>
          <w:sz w:val="18"/>
        </w:rPr>
        <w:t xml:space="preserve">Типоразмер агрегата     </w:t>
      </w:r>
      <w:r w:rsidRPr="00AD79AC">
        <w:rPr>
          <w:rFonts w:ascii="Arial" w:eastAsia="Times New Roman" w:hAnsi="Arial" w:cs="Arial"/>
        </w:rPr>
        <w:t>CM</w:t>
      </w:r>
      <w:r w:rsidRPr="00AD79AC">
        <w:rPr>
          <w:rFonts w:ascii="Arial" w:eastAsia="Times New Roman" w:hAnsi="Arial" w:cs="Arial"/>
          <w:spacing w:val="11"/>
        </w:rPr>
        <w:t xml:space="preserve"> </w:t>
      </w:r>
      <w:r w:rsidRPr="00AD79AC">
        <w:rPr>
          <w:rFonts w:ascii="Arial" w:eastAsia="Times New Roman" w:hAnsi="Arial" w:cs="Arial"/>
        </w:rPr>
        <w:t xml:space="preserve">250-200-400а/6 </w:t>
      </w:r>
      <w:r w:rsidR="0084059F">
        <w:rPr>
          <w:rFonts w:ascii="Arial" w:eastAsia="Times New Roman" w:hAnsi="Arial" w:cs="Arial"/>
        </w:rPr>
        <w:t>Т</w:t>
      </w:r>
      <w:r w:rsidRPr="00AD79AC">
        <w:rPr>
          <w:rFonts w:ascii="Arial" w:eastAsia="Times New Roman" w:hAnsi="Arial" w:cs="Arial"/>
        </w:rPr>
        <w:t>Y</w:t>
      </w:r>
      <w:r w:rsidRPr="00AD79AC">
        <w:rPr>
          <w:rFonts w:ascii="Arial" w:eastAsia="Times New Roman" w:hAnsi="Arial" w:cs="Arial"/>
          <w:spacing w:val="-8"/>
        </w:rPr>
        <w:t xml:space="preserve"> </w:t>
      </w:r>
      <w:r w:rsidRPr="00AD79AC">
        <w:rPr>
          <w:rFonts w:ascii="Arial" w:eastAsia="Times New Roman" w:hAnsi="Arial" w:cs="Arial"/>
        </w:rPr>
        <w:t>3631-00217389-95</w:t>
      </w:r>
      <w:r w:rsidR="005C3795">
        <w:rPr>
          <w:rFonts w:ascii="Arial" w:eastAsia="Times New Roman" w:hAnsi="Arial" w:cs="Arial"/>
        </w:rPr>
        <w:t xml:space="preserve"> (или аналог)</w:t>
      </w:r>
    </w:p>
    <w:p w:rsidR="00DD22D4" w:rsidRPr="00AD79AC" w:rsidRDefault="00DD22D4">
      <w:pPr>
        <w:suppressAutoHyphens/>
        <w:spacing w:after="0" w:line="240" w:lineRule="auto"/>
        <w:rPr>
          <w:rFonts w:ascii="Arial" w:eastAsia="Arial" w:hAnsi="Arial" w:cs="Arial"/>
        </w:rPr>
      </w:pPr>
    </w:p>
    <w:tbl>
      <w:tblPr>
        <w:tblW w:w="9416" w:type="dxa"/>
        <w:tblInd w:w="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908"/>
        <w:gridCol w:w="1757"/>
        <w:gridCol w:w="2959"/>
      </w:tblGrid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Segoe UI Symbol" w:hAnsi="Arial" w:cs="Arial"/>
                <w:b/>
                <w:sz w:val="18"/>
              </w:rPr>
              <w:t>№</w:t>
            </w:r>
            <w:r w:rsidRPr="00AD79AC">
              <w:rPr>
                <w:rFonts w:ascii="Arial" w:eastAsia="Arial" w:hAnsi="Arial" w:cs="Arial"/>
                <w:b/>
                <w:sz w:val="18"/>
              </w:rPr>
              <w:t xml:space="preserve"> п/п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Наименование параметра (характеристики)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Размерность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Требования заказчика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1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Функциональные параметры: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1.1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Перекачиваемая среда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 xml:space="preserve">Дренажные воды  /Канализационные сточные воды  </w:t>
            </w:r>
            <w:r w:rsidRPr="00AD79AC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 xml:space="preserve">Канализационные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сточные воды </w:t>
            </w:r>
            <w:r w:rsidRPr="00AD79AC"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1.2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Подача номинальная (Q)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м³ /час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84059F" w:rsidRDefault="0084059F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D3143">
              <w:rPr>
                <w:rFonts w:ascii="Arial" w:eastAsia="Times New Roman" w:hAnsi="Arial" w:cs="Arial"/>
                <w:sz w:val="18"/>
                <w:szCs w:val="18"/>
              </w:rPr>
              <w:t>475 - 525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1.3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Напор номинальный (Н)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84059F" w:rsidRDefault="0084059F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D3143">
              <w:rPr>
                <w:rFonts w:ascii="Arial" w:eastAsia="Times New Roman" w:hAnsi="Arial" w:cs="Arial"/>
                <w:sz w:val="18"/>
                <w:szCs w:val="18"/>
              </w:rPr>
              <w:t>18,5 - 20,5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1.4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>Максимальная т</w:t>
            </w:r>
            <w:r w:rsidRPr="00AD79AC">
              <w:rPr>
                <w:rFonts w:ascii="Arial" w:eastAsia="Arial" w:hAnsi="Arial" w:cs="Arial"/>
                <w:sz w:val="18"/>
              </w:rPr>
              <w:t>емпература п</w:t>
            </w:r>
            <w:r>
              <w:rPr>
                <w:rFonts w:ascii="Arial" w:eastAsia="Arial" w:hAnsi="Arial" w:cs="Arial"/>
                <w:sz w:val="18"/>
              </w:rPr>
              <w:t>ерекачиваемой среды</w:t>
            </w:r>
            <w:r w:rsidR="0084059F" w:rsidRPr="0084059F">
              <w:rPr>
                <w:rFonts w:ascii="Arial" w:eastAsia="Arial" w:hAnsi="Arial" w:cs="Arial"/>
                <w:color w:val="FF0000"/>
                <w:sz w:val="18"/>
              </w:rPr>
              <w:t xml:space="preserve">, </w:t>
            </w:r>
            <w:r w:rsidR="0084059F" w:rsidRPr="009D3143">
              <w:rPr>
                <w:rFonts w:ascii="Arial" w:eastAsia="Arial" w:hAnsi="Arial" w:cs="Arial"/>
                <w:sz w:val="18"/>
              </w:rPr>
              <w:t>не более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ºС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84059F" w:rsidRDefault="0084059F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D3143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1.5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Материал рабочего колеса, не хуже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СЧ 25 / Нержавеющая сталь 12Х18Н10Т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 xml:space="preserve">СЧ 25   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1.6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Конструктивное исполнение насоса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-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 xml:space="preserve">Центробежный горизонтальный 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1.7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Габаритные размеры: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1.8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Ширина (L), не более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>795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1.9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Длина (L), не более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>2485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  <w:r w:rsidRPr="00AD79AC">
              <w:rPr>
                <w:rFonts w:ascii="Arial" w:eastAsia="Calibri" w:hAnsi="Arial" w:cs="Arial"/>
              </w:rPr>
              <w:t>1.10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D79AC">
              <w:rPr>
                <w:rFonts w:ascii="Arial" w:eastAsia="Calibri" w:hAnsi="Arial" w:cs="Arial"/>
                <w:sz w:val="18"/>
                <w:szCs w:val="18"/>
              </w:rPr>
              <w:t>Высота(L).не более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D79AC">
              <w:rPr>
                <w:rFonts w:ascii="Arial" w:eastAsia="Calibri" w:hAnsi="Arial" w:cs="Arial"/>
                <w:sz w:val="18"/>
                <w:szCs w:val="18"/>
              </w:rPr>
              <w:t>1145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2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Требования к электрооборудованию (электродвигателю):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2.1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Мощность двигателя, не более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кВт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>55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2.2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Напряжение сети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В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>380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2.3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Номинальная скорость вращения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об/мин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>1000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2.4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Частота тока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Гц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2.5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Номинальный ток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А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 xml:space="preserve"> 150  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2.6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Марка обмоточного провода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-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2.7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Класс защиты двигателя, не ниже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-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Arial" w:hAnsi="Arial" w:cs="Arial"/>
                <w:sz w:val="18"/>
                <w:szCs w:val="18"/>
              </w:rPr>
              <w:t>IP 67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3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Конструктивные особенности: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3.1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Присоединительные размеры агрегата: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3.2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color w:val="000000"/>
                <w:sz w:val="18"/>
              </w:rPr>
              <w:t>Условный  проход всасывающего патрубка (D)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>250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3.3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color w:val="000000"/>
                <w:sz w:val="18"/>
              </w:rPr>
              <w:t>Условный  проход напорного патрубка  (D</w:t>
            </w:r>
            <w:r w:rsidRPr="00AD79AC">
              <w:rPr>
                <w:rFonts w:ascii="Arial" w:eastAsia="Arial" w:hAnsi="Arial" w:cs="Arial"/>
                <w:color w:val="000000"/>
                <w:sz w:val="18"/>
                <w:vertAlign w:val="subscript"/>
              </w:rPr>
              <w:t>2</w:t>
            </w:r>
            <w:r w:rsidRPr="00AD79AC">
              <w:rPr>
                <w:rFonts w:ascii="Arial" w:eastAsia="Arial" w:hAnsi="Arial" w:cs="Arial"/>
                <w:color w:val="000000"/>
                <w:sz w:val="18"/>
              </w:rPr>
              <w:t>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 xml:space="preserve">200   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3.4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color w:val="000000"/>
                <w:sz w:val="18"/>
              </w:rPr>
              <w:t>Диаметр присоединительного болтового отверстия (D</w:t>
            </w:r>
            <w:r w:rsidRPr="00AD79AC">
              <w:rPr>
                <w:rFonts w:ascii="Arial" w:eastAsia="Arial" w:hAnsi="Arial" w:cs="Arial"/>
                <w:color w:val="000000"/>
                <w:sz w:val="18"/>
                <w:vertAlign w:val="subscript"/>
              </w:rPr>
              <w:t>3</w:t>
            </w:r>
            <w:r w:rsidRPr="00AD79AC">
              <w:rPr>
                <w:rFonts w:ascii="Arial" w:eastAsia="Arial" w:hAnsi="Arial" w:cs="Arial"/>
                <w:color w:val="000000"/>
                <w:sz w:val="18"/>
              </w:rPr>
              <w:t>)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мм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9AC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9D3143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4</w:t>
            </w:r>
          </w:p>
        </w:tc>
        <w:tc>
          <w:tcPr>
            <w:tcW w:w="8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b/>
                <w:sz w:val="18"/>
              </w:rPr>
              <w:t>Требования к комплекту поставки: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9D3143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>4</w:t>
            </w:r>
            <w:r w:rsidR="00AD79AC" w:rsidRPr="00AD79AC">
              <w:rPr>
                <w:rFonts w:ascii="Arial" w:eastAsia="Arial" w:hAnsi="Arial" w:cs="Arial"/>
                <w:sz w:val="18"/>
              </w:rPr>
              <w:t>.1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Насосный агрегат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AD79AC">
              <w:rPr>
                <w:rFonts w:ascii="Arial" w:eastAsia="Arial" w:hAnsi="Arial" w:cs="Arial"/>
                <w:sz w:val="18"/>
              </w:rPr>
              <w:t>компл</w:t>
            </w:r>
            <w:proofErr w:type="spellEnd"/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</w:t>
            </w:r>
          </w:p>
        </w:tc>
      </w:tr>
      <w:tr w:rsidR="00DD22D4" w:rsidRPr="00AD79AC" w:rsidTr="00AD79AC"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9D3143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>4</w:t>
            </w:r>
            <w:bookmarkStart w:id="0" w:name="_GoBack"/>
            <w:bookmarkEnd w:id="0"/>
            <w:r w:rsidR="00AD79AC" w:rsidRPr="00AD79AC">
              <w:rPr>
                <w:rFonts w:ascii="Arial" w:eastAsia="Arial" w:hAnsi="Arial" w:cs="Arial"/>
                <w:sz w:val="18"/>
              </w:rPr>
              <w:t>.2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 w:rsidRPr="00AD79AC">
              <w:rPr>
                <w:rFonts w:ascii="Arial" w:eastAsia="Arial" w:hAnsi="Arial" w:cs="Arial"/>
                <w:color w:val="000000"/>
                <w:sz w:val="18"/>
              </w:rPr>
              <w:t>Паспорт на оборудование, включающий все технические данные</w:t>
            </w:r>
            <w:r w:rsidRPr="00AD79AC">
              <w:rPr>
                <w:rFonts w:ascii="Arial" w:eastAsia="Arial" w:hAnsi="Arial" w:cs="Arial"/>
                <w:sz w:val="18"/>
              </w:rPr>
              <w:t>:</w:t>
            </w:r>
          </w:p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 w:rsidRPr="00AD79AC">
              <w:rPr>
                <w:rFonts w:ascii="Arial" w:eastAsia="Arial" w:hAnsi="Arial" w:cs="Arial"/>
                <w:sz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 w:rsidRPr="00AD79AC">
              <w:rPr>
                <w:rFonts w:ascii="Arial" w:eastAsia="Arial" w:hAnsi="Arial" w:cs="Arial"/>
                <w:sz w:val="18"/>
              </w:rPr>
              <w:t>- габаритные размеры;</w:t>
            </w:r>
          </w:p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 w:rsidRPr="00AD79AC">
              <w:rPr>
                <w:rFonts w:ascii="Arial" w:eastAsia="Arial" w:hAnsi="Arial" w:cs="Arial"/>
                <w:sz w:val="18"/>
              </w:rPr>
              <w:t>- масса;</w:t>
            </w:r>
          </w:p>
          <w:p w:rsidR="00DD22D4" w:rsidRPr="00AD79AC" w:rsidRDefault="00AD79AC">
            <w:pPr>
              <w:suppressAutoHyphens/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 w:rsidRPr="00AD79AC">
              <w:rPr>
                <w:rFonts w:ascii="Arial" w:eastAsia="Arial" w:hAnsi="Arial" w:cs="Arial"/>
                <w:sz w:val="18"/>
              </w:rPr>
              <w:t>- графики напорных характеристик агрегата с указанием рабочих интервалов;</w:t>
            </w:r>
          </w:p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- марка обмоточного провода.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AD79AC">
              <w:rPr>
                <w:rFonts w:ascii="Arial" w:eastAsia="Arial" w:hAnsi="Arial" w:cs="Arial"/>
                <w:sz w:val="18"/>
              </w:rPr>
              <w:t>шт</w:t>
            </w:r>
            <w:proofErr w:type="spellEnd"/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1</w:t>
            </w:r>
          </w:p>
        </w:tc>
      </w:tr>
    </w:tbl>
    <w:p w:rsidR="00DD22D4" w:rsidRPr="00AD79AC" w:rsidRDefault="00DD22D4">
      <w:pPr>
        <w:suppressAutoHyphens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6"/>
        <w:gridCol w:w="6200"/>
      </w:tblGrid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5C3795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Палехов Д.Ф.</w:t>
            </w:r>
            <w:r w:rsidR="00AD79AC"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5C3795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Начальник механического участка службы главного энергетика</w:t>
            </w:r>
            <w:r w:rsidR="00AD79AC"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5C3795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8 (3424) 29-26-12, </w:t>
            </w:r>
            <w:proofErr w:type="spellStart"/>
            <w:r>
              <w:rPr>
                <w:rFonts w:ascii="Arial" w:eastAsia="Times New Roman" w:hAnsi="Arial" w:cs="Arial"/>
              </w:rPr>
              <w:t>доб</w:t>
            </w:r>
            <w:proofErr w:type="spellEnd"/>
            <w:r>
              <w:rPr>
                <w:rFonts w:ascii="Arial" w:eastAsia="Times New Roman" w:hAnsi="Arial" w:cs="Arial"/>
              </w:rPr>
              <w:t xml:space="preserve"> 3353</w:t>
            </w:r>
            <w:r w:rsidR="00AD79AC"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5C3795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3795">
              <w:rPr>
                <w:rFonts w:ascii="Arial" w:eastAsia="Times New Roman" w:hAnsi="Arial" w:cs="Arial"/>
              </w:rPr>
              <w:t>palehov_df@bervk.ru</w:t>
            </w:r>
            <w:r w:rsidR="00AD79AC"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lastRenderedPageBreak/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D79AC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DD22D4" w:rsidRPr="00AD79AC"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AD79AC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AD79AC">
              <w:rPr>
                <w:rFonts w:ascii="Arial" w:eastAsia="Arial" w:hAnsi="Arial" w:cs="Arial"/>
                <w:sz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DD22D4" w:rsidRPr="00AD79AC" w:rsidRDefault="00DD22D4">
            <w:pPr>
              <w:suppressAutoHyphens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DD22D4" w:rsidRDefault="00DD22D4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sectPr w:rsidR="00DD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D4"/>
    <w:rsid w:val="002600B0"/>
    <w:rsid w:val="005C3795"/>
    <w:rsid w:val="0084059F"/>
    <w:rsid w:val="009D3143"/>
    <w:rsid w:val="00AD79AC"/>
    <w:rsid w:val="00D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Моховикова Екатерина Николаевна</cp:lastModifiedBy>
  <cp:revision>3</cp:revision>
  <dcterms:created xsi:type="dcterms:W3CDTF">2024-05-29T09:33:00Z</dcterms:created>
  <dcterms:modified xsi:type="dcterms:W3CDTF">2024-05-29T09:40:00Z</dcterms:modified>
</cp:coreProperties>
</file>